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61C6A531"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89B">
        <w:rPr>
          <w:sz w:val="28"/>
          <w:szCs w:val="28"/>
        </w:rPr>
        <w:t>1</w:t>
      </w:r>
      <w:r w:rsidR="00343101">
        <w:rPr>
          <w:sz w:val="28"/>
          <w:szCs w:val="28"/>
        </w:rPr>
        <w:t>8</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2ECE0B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89B">
        <w:rPr>
          <w:rFonts w:ascii="Times New Roman" w:hAnsi="Times New Roman" w:cs="Times New Roman"/>
          <w:sz w:val="28"/>
          <w:szCs w:val="28"/>
        </w:rPr>
        <w:t>1</w:t>
      </w:r>
      <w:r w:rsidR="00343101">
        <w:rPr>
          <w:rFonts w:ascii="Times New Roman" w:hAnsi="Times New Roman" w:cs="Times New Roman"/>
          <w:sz w:val="28"/>
          <w:szCs w:val="28"/>
        </w:rPr>
        <w:t>8</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411725">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464531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411725">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90E2CE5"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0978E5">
        <w:rPr>
          <w:rFonts w:ascii="Times New Roman" w:hAnsi="Times New Roman" w:cs="Times New Roman"/>
          <w:sz w:val="28"/>
          <w:szCs w:val="28"/>
        </w:rPr>
        <w:t>5 сентября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0E302AC1"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0978E5">
        <w:rPr>
          <w:rFonts w:ascii="Times New Roman" w:hAnsi="Times New Roman" w:cs="Times New Roman"/>
          <w:sz w:val="28"/>
          <w:szCs w:val="28"/>
        </w:rPr>
        <w:t>6 августа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0F7F66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AE5C8D">
        <w:rPr>
          <w:rFonts w:ascii="Times New Roman" w:hAnsi="Times New Roman" w:cs="Times New Roman"/>
          <w:sz w:val="28"/>
          <w:szCs w:val="28"/>
        </w:rPr>
        <w:t>1</w:t>
      </w:r>
      <w:r w:rsidR="000978E5">
        <w:rPr>
          <w:rFonts w:ascii="Times New Roman" w:hAnsi="Times New Roman" w:cs="Times New Roman"/>
          <w:sz w:val="28"/>
          <w:szCs w:val="28"/>
        </w:rPr>
        <w:t>7 сентября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3C138DC6"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0978E5">
        <w:rPr>
          <w:rFonts w:ascii="Times New Roman" w:hAnsi="Times New Roman" w:cs="Times New Roman"/>
          <w:sz w:val="28"/>
          <w:szCs w:val="28"/>
        </w:rPr>
        <w:t>7</w:t>
      </w:r>
      <w:r w:rsidR="00411725">
        <w:rPr>
          <w:rFonts w:ascii="Times New Roman" w:hAnsi="Times New Roman" w:cs="Times New Roman"/>
          <w:sz w:val="28"/>
          <w:szCs w:val="28"/>
        </w:rPr>
        <w:t xml:space="preserve"> </w:t>
      </w:r>
      <w:r w:rsidR="000978E5">
        <w:rPr>
          <w:rFonts w:ascii="Times New Roman" w:hAnsi="Times New Roman" w:cs="Times New Roman"/>
          <w:sz w:val="28"/>
          <w:szCs w:val="28"/>
        </w:rPr>
        <w:t>сентября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3A78B3FE" w:rsidR="00EB0DDD" w:rsidRDefault="00EB0DDD" w:rsidP="00EB0DDD">
      <w:pPr>
        <w:jc w:val="center"/>
        <w:rPr>
          <w:sz w:val="28"/>
          <w:szCs w:val="28"/>
        </w:rPr>
      </w:pPr>
      <w:r>
        <w:rPr>
          <w:sz w:val="28"/>
          <w:szCs w:val="28"/>
        </w:rPr>
        <w:t>Табл</w:t>
      </w:r>
      <w:r w:rsidR="00242F6F">
        <w:rPr>
          <w:sz w:val="28"/>
          <w:szCs w:val="28"/>
        </w:rPr>
        <w:t>и</w:t>
      </w:r>
      <w:r w:rsidR="00F062C5">
        <w:rPr>
          <w:sz w:val="28"/>
          <w:szCs w:val="28"/>
        </w:rPr>
        <w:t>ца лотов открытого аукциона № 1</w:t>
      </w:r>
      <w:r w:rsidR="00C17E7B">
        <w:rPr>
          <w:sz w:val="28"/>
          <w:szCs w:val="28"/>
        </w:rPr>
        <w:t>8</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16613C20" w:rsidR="00372140" w:rsidRDefault="0028553E" w:rsidP="00411725">
            <w:pPr>
              <w:spacing w:line="276" w:lineRule="auto"/>
              <w:jc w:val="center"/>
              <w:rPr>
                <w:sz w:val="28"/>
                <w:szCs w:val="28"/>
                <w:lang w:eastAsia="en-US"/>
              </w:rPr>
            </w:pPr>
            <w:bookmarkStart w:id="0" w:name="_GoBack"/>
            <w:bookmarkEnd w:id="0"/>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10FF53DF" w:rsidR="00C17E7B" w:rsidRDefault="00C17E7B" w:rsidP="00C17E7B">
            <w:pPr>
              <w:spacing w:line="276" w:lineRule="auto"/>
              <w:jc w:val="center"/>
              <w:rPr>
                <w:color w:val="0D0D0D"/>
                <w:sz w:val="28"/>
                <w:szCs w:val="28"/>
                <w:lang w:eastAsia="en-US"/>
              </w:rPr>
            </w:pPr>
            <w:r>
              <w:rPr>
                <w:color w:val="0D0D0D"/>
                <w:sz w:val="28"/>
                <w:szCs w:val="28"/>
                <w:lang w:eastAsia="en-US"/>
              </w:rPr>
              <w:t>Советский территориальный округ, ул. Д. Ульянова,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A1C1230" w:rsidR="00C17E7B" w:rsidRDefault="00C17E7B" w:rsidP="00C17E7B">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D3111B3" w:rsidR="00C17E7B" w:rsidRDefault="00C17E7B" w:rsidP="00C17E7B">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B87211F" w:rsidR="00C17E7B" w:rsidRPr="00532238" w:rsidRDefault="00C17E7B" w:rsidP="00C17E7B">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06DE9897" w:rsidR="00C17E7B" w:rsidRDefault="00C17E7B" w:rsidP="00C17E7B">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575BF673" w:rsidR="00C17E7B" w:rsidRDefault="00C17E7B" w:rsidP="00C17E7B">
            <w:pPr>
              <w:spacing w:line="276" w:lineRule="auto"/>
              <w:jc w:val="center"/>
              <w:rPr>
                <w:sz w:val="28"/>
                <w:szCs w:val="28"/>
                <w:lang w:eastAsia="en-US"/>
              </w:rPr>
            </w:pPr>
            <w:r>
              <w:rPr>
                <w:sz w:val="28"/>
                <w:szCs w:val="28"/>
                <w:lang w:eastAsia="en-US"/>
              </w:rPr>
              <w:t>129 906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1448E9A" w:rsidR="00C17E7B" w:rsidRDefault="00C17E7B" w:rsidP="00C17E7B">
            <w:pPr>
              <w:spacing w:line="276" w:lineRule="auto"/>
              <w:jc w:val="center"/>
              <w:rPr>
                <w:sz w:val="28"/>
                <w:szCs w:val="28"/>
                <w:lang w:eastAsia="en-US"/>
              </w:rPr>
            </w:pPr>
            <w:r>
              <w:rPr>
                <w:sz w:val="28"/>
                <w:szCs w:val="28"/>
                <w:lang w:eastAsia="en-US"/>
              </w:rPr>
              <w:t>6 495</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50424061"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r w:rsidR="00C17E7B"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375BFE04" w:rsidR="00C17E7B" w:rsidRDefault="00C17E7B" w:rsidP="00C17E7B">
            <w:pPr>
              <w:spacing w:line="276" w:lineRule="auto"/>
              <w:jc w:val="center"/>
              <w:rPr>
                <w:color w:val="0D0D0D"/>
                <w:sz w:val="28"/>
                <w:szCs w:val="28"/>
                <w:lang w:eastAsia="en-US"/>
              </w:rPr>
            </w:pPr>
            <w:r>
              <w:rPr>
                <w:color w:val="0D0D0D"/>
                <w:sz w:val="28"/>
                <w:szCs w:val="28"/>
                <w:lang w:eastAsia="en-US"/>
              </w:rPr>
              <w:t>Советский территориальный округ, ул. Д. Ульянова,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EF8E482" w:rsidR="00C17E7B" w:rsidRDefault="00C17E7B" w:rsidP="00C17E7B">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20817EF8" w:rsidR="00C17E7B" w:rsidRDefault="00C17E7B" w:rsidP="00C17E7B">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0926B705" w:rsidR="00C17E7B" w:rsidRDefault="00C17E7B" w:rsidP="00C17E7B">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ADB4CF0" w:rsidR="00C17E7B" w:rsidRDefault="00C17E7B" w:rsidP="00C17E7B">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0A150E7F" w:rsidR="00C17E7B" w:rsidRDefault="00C17E7B" w:rsidP="00C17E7B">
            <w:pPr>
              <w:spacing w:line="276" w:lineRule="auto"/>
              <w:jc w:val="center"/>
              <w:rPr>
                <w:sz w:val="28"/>
                <w:szCs w:val="28"/>
                <w:lang w:eastAsia="en-US"/>
              </w:rPr>
            </w:pPr>
            <w:r>
              <w:rPr>
                <w:sz w:val="28"/>
                <w:szCs w:val="28"/>
                <w:lang w:eastAsia="en-US"/>
              </w:rPr>
              <w:t>129 906</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528703E" w:rsidR="00C17E7B" w:rsidRDefault="00C17E7B" w:rsidP="00C17E7B">
            <w:pPr>
              <w:spacing w:line="276" w:lineRule="auto"/>
              <w:jc w:val="center"/>
              <w:rPr>
                <w:sz w:val="28"/>
                <w:szCs w:val="28"/>
                <w:lang w:eastAsia="en-US"/>
              </w:rPr>
            </w:pPr>
            <w:r>
              <w:rPr>
                <w:sz w:val="28"/>
                <w:szCs w:val="28"/>
                <w:lang w:eastAsia="en-US"/>
              </w:rPr>
              <w:t>6 495</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3E13FD54"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78F7B1D1" w:rsidR="00C17E7B" w:rsidRPr="00B60D1C" w:rsidRDefault="00C17E7B" w:rsidP="00C17E7B">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CBE78" w14:textId="77777777" w:rsidR="00667E0F" w:rsidRDefault="00667E0F">
      <w:r>
        <w:separator/>
      </w:r>
    </w:p>
  </w:endnote>
  <w:endnote w:type="continuationSeparator" w:id="0">
    <w:p w14:paraId="4657FEEA" w14:textId="77777777" w:rsidR="00667E0F" w:rsidRDefault="0066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8F61BF3"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00EC5">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02359D3"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00EC5">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34BC8" w14:textId="77777777" w:rsidR="00667E0F" w:rsidRDefault="00667E0F">
      <w:r>
        <w:separator/>
      </w:r>
    </w:p>
  </w:footnote>
  <w:footnote w:type="continuationSeparator" w:id="0">
    <w:p w14:paraId="473174B4" w14:textId="77777777" w:rsidR="00667E0F" w:rsidRDefault="00667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67E0F"/>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0EC5"/>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35407-82CC-4AA0-907A-C33DA09E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6907</TotalTime>
  <Pages>19</Pages>
  <Words>7341</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370</cp:revision>
  <cp:lastPrinted>2024-03-14T12:00:00Z</cp:lastPrinted>
  <dcterms:created xsi:type="dcterms:W3CDTF">2019-12-19T09:02:00Z</dcterms:created>
  <dcterms:modified xsi:type="dcterms:W3CDTF">2025-08-20T08:06:00Z</dcterms:modified>
</cp:coreProperties>
</file>